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b/>
          <w:color w:val="744210"/>
          <w:sz w:val="17"/>
        </w:rPr>
        <w:t>STANDARD OPERATING PROCEDURE (SOP) | FINANCE &amp; ASSETS</w:t>
      </w:r>
    </w:p>
    <w:p>
      <w:pPr>
        <w:keepNext/>
        <w:spacing w:before="120" w:after="240"/>
        <w:jc w:val="center"/>
      </w:pPr>
      <w:r>
        <w:rPr>
          <w:rFonts w:ascii="Arial" w:hAnsi="Arial"/>
          <w:b/>
          <w:color w:val="1B365D"/>
          <w:sz w:val="28"/>
        </w:rPr>
        <w:t>FIXED ASSETS CAPITALIZATION SOP ARCHITECTURE</w:t>
      </w:r>
    </w:p>
    <w:tbl>
      <w:tblPr>
        <w:tblW w:type="auto" w:w="0"/>
        <w:jc w:val="center"/>
        <w:tblLayout w:type="fixed"/>
        <w:tblLook w:firstColumn="1" w:firstRow="1" w:lastColumn="0" w:lastRow="0" w:noHBand="0" w:noVBand="1" w:val="04A0"/>
      </w:tblPr>
      <w:tblGrid>
        <w:gridCol w:w="4514"/>
        <w:gridCol w:w="4514"/>
      </w:tblGrid>
      <w:tr>
        <w:tc>
          <w:tcPr>
            <w:tcW w:type="dxa" w:w="3600"/>
            <w:shd w:fill="F7FAFC"/>
            <w:tcBorders>
              <w:top w:val="single" w:sz="4" w:space="0" w:color="CCCCCC"/>
              <w:bottom w:val="single" w:sz="4" w:space="0" w:color="CCCCCC"/>
              <w:left w:val="single" w:sz="4" w:space="0" w:color="CCCCCC"/>
              <w:right w:val="single" w:sz="4" w:space="0" w:color="CCCCCC"/>
            </w:tcBorders>
            <w:vAlign w:val="center"/>
          </w:tcPr>
          <w:p>
            <w:pPr>
              <w:spacing w:after="40"/>
            </w:pPr>
            <w:r>
              <w:rPr>
                <w:b/>
                <w:sz w:val="18"/>
              </w:rPr>
              <w:t>Document ID / Version:</w:t>
            </w:r>
          </w:p>
        </w:tc>
        <w:tc>
          <w:tcPr>
            <w:tcW w:type="dxa" w:w="5429"/>
            <w:tcBorders>
              <w:top w:val="single" w:sz="4" w:space="0" w:color="CCCCCC"/>
              <w:bottom w:val="single" w:sz="4" w:space="0" w:color="CCCCCC"/>
              <w:left w:val="single" w:sz="4" w:space="0" w:color="CCCCCC"/>
              <w:right w:val="single" w:sz="4" w:space="0" w:color="CCCCCC"/>
            </w:tcBorders>
            <w:vAlign w:val="center"/>
          </w:tcPr>
          <w:p>
            <w:pPr>
              <w:spacing w:after="40"/>
            </w:pPr>
            <w:r>
              <w:rPr>
                <w:sz w:val="19"/>
              </w:rPr>
              <w:t>SOP-FIN-FA-004 / v1.0</w:t>
            </w:r>
          </w:p>
        </w:tc>
      </w:tr>
      <w:tr>
        <w:tc>
          <w:tcPr>
            <w:tcW w:type="dxa" w:w="3600"/>
            <w:shd w:fill="F7FAFC"/>
            <w:tcBorders>
              <w:top w:val="single" w:sz="4" w:space="0" w:color="CCCCCC"/>
              <w:bottom w:val="single" w:sz="4" w:space="0" w:color="CCCCCC"/>
              <w:left w:val="single" w:sz="4" w:space="0" w:color="CCCCCC"/>
              <w:right w:val="single" w:sz="4" w:space="0" w:color="CCCCCC"/>
            </w:tcBorders>
            <w:vAlign w:val="center"/>
          </w:tcPr>
          <w:p>
            <w:pPr>
              <w:spacing w:after="40"/>
            </w:pPr>
            <w:r>
              <w:rPr>
                <w:b/>
                <w:sz w:val="18"/>
              </w:rPr>
              <w:t>Effective Close Date:</w:t>
            </w:r>
          </w:p>
        </w:tc>
        <w:tc>
          <w:tcPr>
            <w:tcW w:type="dxa" w:w="5429"/>
            <w:tcBorders>
              <w:top w:val="single" w:sz="4" w:space="0" w:color="CCCCCC"/>
              <w:bottom w:val="single" w:sz="4" w:space="0" w:color="CCCCCC"/>
              <w:left w:val="single" w:sz="4" w:space="0" w:color="CCCCCC"/>
              <w:right w:val="single" w:sz="4" w:space="0" w:color="CCCCCC"/>
            </w:tcBorders>
            <w:vAlign w:val="center"/>
          </w:tcPr>
          <w:p>
            <w:pPr>
              <w:spacing w:after="40"/>
            </w:pPr>
            <w:r>
              <w:rPr>
                <w:sz w:val="19"/>
              </w:rPr>
              <w:t>May 2026</w:t>
            </w:r>
          </w:p>
        </w:tc>
      </w:tr>
      <w:tr>
        <w:tc>
          <w:tcPr>
            <w:tcW w:type="dxa" w:w="3600"/>
            <w:shd w:fill="F7FAFC"/>
            <w:tcBorders>
              <w:top w:val="single" w:sz="4" w:space="0" w:color="CCCCCC"/>
              <w:bottom w:val="single" w:sz="4" w:space="0" w:color="CCCCCC"/>
              <w:left w:val="single" w:sz="4" w:space="0" w:color="CCCCCC"/>
              <w:right w:val="single" w:sz="4" w:space="0" w:color="CCCCCC"/>
            </w:tcBorders>
            <w:vAlign w:val="center"/>
          </w:tcPr>
          <w:p>
            <w:pPr>
              <w:spacing w:after="40"/>
            </w:pPr>
            <w:r>
              <w:rPr>
                <w:b/>
                <w:sz w:val="18"/>
              </w:rPr>
              <w:t>Regulatory Base Compliance:</w:t>
            </w:r>
          </w:p>
        </w:tc>
        <w:tc>
          <w:tcPr>
            <w:tcW w:type="dxa" w:w="5429"/>
            <w:tcBorders>
              <w:top w:val="single" w:sz="4" w:space="0" w:color="CCCCCC"/>
              <w:bottom w:val="single" w:sz="4" w:space="0" w:color="CCCCCC"/>
              <w:left w:val="single" w:sz="4" w:space="0" w:color="CCCCCC"/>
              <w:right w:val="single" w:sz="4" w:space="0" w:color="CCCCCC"/>
            </w:tcBorders>
            <w:vAlign w:val="center"/>
          </w:tcPr>
          <w:p>
            <w:pPr>
              <w:spacing w:after="40"/>
            </w:pPr>
            <w:r>
              <w:rPr>
                <w:sz w:val="19"/>
              </w:rPr>
              <w:t>AS 10 (Indian GAAP) / IND AS 16 (Property, Plant and Equipment)</w:t>
            </w:r>
          </w:p>
        </w:tc>
      </w:tr>
      <w:tr>
        <w:tc>
          <w:tcPr>
            <w:tcW w:type="dxa" w:w="3600"/>
            <w:shd w:fill="F7FAFC"/>
            <w:tcBorders>
              <w:top w:val="single" w:sz="4" w:space="0" w:color="CCCCCC"/>
              <w:bottom w:val="single" w:sz="4" w:space="0" w:color="CCCCCC"/>
              <w:left w:val="single" w:sz="4" w:space="0" w:color="CCCCCC"/>
              <w:right w:val="single" w:sz="4" w:space="0" w:color="CCCCCC"/>
            </w:tcBorders>
            <w:vAlign w:val="center"/>
          </w:tcPr>
          <w:p>
            <w:pPr>
              <w:spacing w:after="40"/>
            </w:pPr>
            <w:r>
              <w:rPr>
                <w:b/>
                <w:sz w:val="18"/>
              </w:rPr>
              <w:t>Target Review Cycle:</w:t>
            </w:r>
          </w:p>
        </w:tc>
        <w:tc>
          <w:tcPr>
            <w:tcW w:type="dxa" w:w="5429"/>
            <w:tcBorders>
              <w:top w:val="single" w:sz="4" w:space="0" w:color="CCCCCC"/>
              <w:bottom w:val="single" w:sz="4" w:space="0" w:color="CCCCCC"/>
              <w:left w:val="single" w:sz="4" w:space="0" w:color="CCCCCC"/>
              <w:right w:val="single" w:sz="4" w:space="0" w:color="CCCCCC"/>
            </w:tcBorders>
            <w:vAlign w:val="center"/>
          </w:tcPr>
          <w:p>
            <w:pPr>
              <w:spacing w:after="40"/>
            </w:pPr>
            <w:r>
              <w:rPr>
                <w:sz w:val="19"/>
              </w:rPr>
              <w:t>Annual - Corporate Controller Division</w:t>
            </w:r>
          </w:p>
        </w:tc>
      </w:tr>
    </w:tbl>
    <w:p>
      <w:pPr>
        <w:spacing w:before="200"/>
      </w:pPr>
    </w:p>
    <w:p>
      <w:pPr>
        <w:keepNext/>
        <w:spacing w:before="240" w:after="80"/>
      </w:pPr>
      <w:r>
        <w:rPr>
          <w:rFonts w:ascii="Arial" w:hAnsi="Arial"/>
          <w:b/>
          <w:color w:val="1B365D"/>
          <w:sz w:val="28"/>
        </w:rPr>
        <w:t>1. Purview &amp; Objectives</w:t>
      </w:r>
    </w:p>
    <w:p>
      <w:r>
        <w:t>This Standard Operating Procedure (SOP) outlines the architectural criteria and workflow processes governing the capitalization of long-lived tangible assets across the enterprise. The core objective is to ensure absolute accuracy in the classification, measurement, timing, depreciation, and reporting of Property, Plant, and Equipment (PPE), mitigating financial statement risks and ensuring robust alignment with internal corporate controls.</w:t>
      </w:r>
    </w:p>
    <w:p>
      <w:pPr>
        <w:keepNext/>
        <w:spacing w:before="240" w:after="80"/>
      </w:pPr>
      <w:r>
        <w:rPr>
          <w:rFonts w:ascii="Arial" w:hAnsi="Arial"/>
          <w:b/>
          <w:color w:val="1B365D"/>
          <w:sz w:val="28"/>
        </w:rPr>
        <w:t>2. Core Capitalization Threshold Guidelines</w:t>
      </w:r>
    </w:p>
    <w:p>
      <w:r>
        <w:t>An item shall be formally capitalized as a Fixed Asset if and only if it satisfies both of the following regulatory criteria:</w:t>
      </w:r>
    </w:p>
    <w:p>
      <w:pPr>
        <w:pStyle w:val="ListBullet"/>
        <w:spacing w:after="40"/>
      </w:pPr>
      <w:r>
        <w:rPr>
          <w:b/>
        </w:rPr>
        <w:t xml:space="preserve">Economic Life: </w:t>
      </w:r>
      <w:r>
        <w:t>The item possesses an estimated useful operational lifespan extending beyond twelve (12) consecutive calendar months.</w:t>
      </w:r>
    </w:p>
    <w:p>
      <w:pPr>
        <w:pStyle w:val="ListBullet"/>
        <w:spacing w:after="80"/>
      </w:pPr>
      <w:r>
        <w:rPr>
          <w:b/>
        </w:rPr>
        <w:t xml:space="preserve">Financial Threshold: </w:t>
      </w:r>
      <w:r>
        <w:t>The individual acquisition historical invoice cost or aggregate system rollout cost meets or exceeds the corporate baseline threshold of INR 50,000 (or localized company policy limits).</w:t>
      </w:r>
    </w:p>
    <w:p>
      <w:pPr>
        <w:keepNext/>
        <w:spacing w:before="240" w:after="80"/>
      </w:pPr>
      <w:r>
        <w:rPr>
          <w:rFonts w:ascii="Arial" w:hAnsi="Arial"/>
          <w:b/>
          <w:color w:val="2C5282"/>
          <w:sz w:val="23"/>
        </w:rPr>
        <w:t>2.1 Valuation of Capitalizable Historical Cost Components</w:t>
      </w:r>
    </w:p>
    <w:p>
      <w:r>
        <w:t>The historical cost components to be included or explicitly excluded from the Asset General Ledger cost block are structured as follows:</w:t>
      </w:r>
    </w:p>
    <w:tbl>
      <w:tblPr>
        <w:tblW w:type="auto" w:w="0"/>
        <w:jc w:val="center"/>
        <w:tblLayout w:type="fixed"/>
        <w:tblLook w:firstColumn="1" w:firstRow="1" w:lastColumn="0" w:lastRow="0" w:noHBand="0" w:noVBand="1" w:val="04A0"/>
      </w:tblPr>
      <w:tblGrid>
        <w:gridCol w:w="3010"/>
        <w:gridCol w:w="3010"/>
        <w:gridCol w:w="3010"/>
      </w:tblGrid>
      <w:tr>
        <w:tc>
          <w:tcPr>
            <w:tcW w:type="dxa" w:w="2592"/>
            <w:shd w:fill="1B365D"/>
            <w:tcBorders>
              <w:top w:val="single" w:sz="4" w:space="0" w:color="1B365D"/>
              <w:bottom w:val="single" w:sz="4" w:space="0" w:color="1B365D"/>
              <w:left w:val="single" w:sz="4" w:space="0" w:color="1B365D"/>
              <w:right w:val="single" w:sz="4" w:space="0" w:color="1B365D"/>
            </w:tcBorders>
            <w:vAlign w:val="center"/>
          </w:tcPr>
          <w:p>
            <w:pPr>
              <w:spacing w:after="40"/>
              <w:jc w:val="center"/>
            </w:pPr>
            <w:r>
              <w:rPr>
                <w:b/>
                <w:color w:val="FFFFFF"/>
                <w:sz w:val="19"/>
              </w:rPr>
              <w:t>Cost Element Grouping</w:t>
            </w:r>
          </w:p>
        </w:tc>
        <w:tc>
          <w:tcPr>
            <w:tcW w:type="dxa" w:w="1728"/>
            <w:shd w:fill="1B365D"/>
            <w:tcBorders>
              <w:top w:val="single" w:sz="4" w:space="0" w:color="1B365D"/>
              <w:bottom w:val="single" w:sz="4" w:space="0" w:color="1B365D"/>
              <w:left w:val="single" w:sz="4" w:space="0" w:color="1B365D"/>
              <w:right w:val="single" w:sz="4" w:space="0" w:color="1B365D"/>
            </w:tcBorders>
            <w:vAlign w:val="center"/>
          </w:tcPr>
          <w:p>
            <w:pPr>
              <w:spacing w:after="40"/>
              <w:jc w:val="center"/>
            </w:pPr>
            <w:r>
              <w:rPr>
                <w:b/>
                <w:color w:val="FFFFFF"/>
                <w:sz w:val="19"/>
              </w:rPr>
              <w:t>Treatment Status</w:t>
            </w:r>
          </w:p>
        </w:tc>
        <w:tc>
          <w:tcPr>
            <w:tcW w:type="dxa" w:w="4709"/>
            <w:shd w:fill="1B365D"/>
            <w:tcBorders>
              <w:top w:val="single" w:sz="4" w:space="0" w:color="1B365D"/>
              <w:bottom w:val="single" w:sz="4" w:space="0" w:color="1B365D"/>
              <w:left w:val="single" w:sz="4" w:space="0" w:color="1B365D"/>
              <w:right w:val="single" w:sz="4" w:space="0" w:color="1B365D"/>
            </w:tcBorders>
            <w:vAlign w:val="center"/>
          </w:tcPr>
          <w:p>
            <w:pPr>
              <w:spacing w:after="40"/>
              <w:jc w:val="center"/>
            </w:pPr>
            <w:r>
              <w:rPr>
                <w:b/>
                <w:color w:val="FFFFFF"/>
                <w:sz w:val="19"/>
              </w:rPr>
              <w:t>Architectural Accounting Rule &amp; Framework Basis</w:t>
            </w:r>
          </w:p>
        </w:tc>
      </w:tr>
      <w:tr>
        <w:tc>
          <w:tcPr>
            <w:tcW w:type="dxa" w:w="2592"/>
            <w:tcBorders>
              <w:top w:val="single" w:sz="4" w:space="0" w:color="CCCCCC"/>
              <w:bottom w:val="single" w:sz="4" w:space="0" w:color="CCCCCC"/>
              <w:left w:val="single" w:sz="4" w:space="0" w:color="CCCCCC"/>
              <w:right w:val="single" w:sz="4" w:space="0" w:color="CCCCCC"/>
            </w:tcBorders>
            <w:vAlign w:val="center"/>
          </w:tcPr>
          <w:p>
            <w:r>
              <w:rPr>
                <w:b/>
                <w:sz w:val="18"/>
              </w:rPr>
              <w:t>Base Purchase Price</w:t>
            </w:r>
          </w:p>
        </w:tc>
        <w:tc>
          <w:tcPr>
            <w:tcW w:type="dxa" w:w="1728"/>
            <w:shd w:fill="E2EFDA"/>
            <w:tcBorders>
              <w:top w:val="single" w:sz="4" w:space="0" w:color="CCCCCC"/>
              <w:bottom w:val="single" w:sz="4" w:space="0" w:color="CCCCCC"/>
              <w:left w:val="single" w:sz="4" w:space="0" w:color="CCCCCC"/>
              <w:right w:val="single" w:sz="4" w:space="0" w:color="CCCCCC"/>
            </w:tcBorders>
            <w:vAlign w:val="center"/>
          </w:tcPr>
          <w:p>
            <w:pPr>
              <w:jc w:val="center"/>
            </w:pPr>
            <w:r>
              <w:rPr>
                <w:b/>
                <w:color w:val="2E7559"/>
                <w:sz w:val="18"/>
              </w:rPr>
              <w:t>CAPITALIZE</w:t>
            </w:r>
          </w:p>
        </w:tc>
        <w:tc>
          <w:tcPr>
            <w:tcW w:type="dxa" w:w="4709"/>
            <w:tcBorders>
              <w:top w:val="single" w:sz="4" w:space="0" w:color="CCCCCC"/>
              <w:bottom w:val="single" w:sz="4" w:space="0" w:color="CCCCCC"/>
              <w:left w:val="single" w:sz="4" w:space="0" w:color="CCCCCC"/>
              <w:right w:val="single" w:sz="4" w:space="0" w:color="CCCCCC"/>
            </w:tcBorders>
            <w:vAlign w:val="center"/>
          </w:tcPr>
          <w:p>
            <w:r>
              <w:rPr>
                <w:sz w:val="18"/>
              </w:rPr>
              <w:t>Gross purchase invoice cost including non-refundable import duties, after netting out commercial trade discounts and vendor rebates.</w:t>
            </w:r>
          </w:p>
        </w:tc>
      </w:tr>
      <w:tr>
        <w:tc>
          <w:tcPr>
            <w:tcW w:type="dxa" w:w="2592"/>
            <w:shd w:fill="F7FAFC"/>
            <w:tcBorders>
              <w:top w:val="single" w:sz="4" w:space="0" w:color="CCCCCC"/>
              <w:bottom w:val="single" w:sz="4" w:space="0" w:color="CCCCCC"/>
              <w:left w:val="single" w:sz="4" w:space="0" w:color="CCCCCC"/>
              <w:right w:val="single" w:sz="4" w:space="0" w:color="CCCCCC"/>
            </w:tcBorders>
            <w:vAlign w:val="center"/>
          </w:tcPr>
          <w:p>
            <w:r>
              <w:rPr>
                <w:b/>
                <w:sz w:val="18"/>
              </w:rPr>
              <w:t>Logistics &amp; Transit Costs</w:t>
            </w:r>
          </w:p>
        </w:tc>
        <w:tc>
          <w:tcPr>
            <w:tcW w:type="dxa" w:w="1728"/>
            <w:shd w:fill="E2EFDA"/>
            <w:tcBorders>
              <w:top w:val="single" w:sz="4" w:space="0" w:color="CCCCCC"/>
              <w:bottom w:val="single" w:sz="4" w:space="0" w:color="CCCCCC"/>
              <w:left w:val="single" w:sz="4" w:space="0" w:color="CCCCCC"/>
              <w:right w:val="single" w:sz="4" w:space="0" w:color="CCCCCC"/>
            </w:tcBorders>
            <w:vAlign w:val="center"/>
          </w:tcPr>
          <w:p>
            <w:pPr>
              <w:jc w:val="center"/>
            </w:pPr>
            <w:r>
              <w:rPr>
                <w:b/>
                <w:color w:val="2E7559"/>
                <w:sz w:val="18"/>
              </w:rPr>
              <w:t>CAPITALIZE</w:t>
            </w:r>
          </w:p>
        </w:tc>
        <w:tc>
          <w:tcPr>
            <w:tcW w:type="dxa" w:w="4709"/>
            <w:shd w:fill="F7FAFC"/>
            <w:tcBorders>
              <w:top w:val="single" w:sz="4" w:space="0" w:color="CCCCCC"/>
              <w:bottom w:val="single" w:sz="4" w:space="0" w:color="CCCCCC"/>
              <w:left w:val="single" w:sz="4" w:space="0" w:color="CCCCCC"/>
              <w:right w:val="single" w:sz="4" w:space="0" w:color="CCCCCC"/>
            </w:tcBorders>
            <w:vAlign w:val="center"/>
          </w:tcPr>
          <w:p>
            <w:r>
              <w:rPr>
                <w:sz w:val="18"/>
              </w:rPr>
              <w:t>Direct internal or external freight, handling, inland transit insurance, loading, and off-loading costs to move the asset to site.</w:t>
            </w:r>
          </w:p>
        </w:tc>
      </w:tr>
      <w:tr>
        <w:tc>
          <w:tcPr>
            <w:tcW w:type="dxa" w:w="2592"/>
            <w:tcBorders>
              <w:top w:val="single" w:sz="4" w:space="0" w:color="CCCCCC"/>
              <w:bottom w:val="single" w:sz="4" w:space="0" w:color="CCCCCC"/>
              <w:left w:val="single" w:sz="4" w:space="0" w:color="CCCCCC"/>
              <w:right w:val="single" w:sz="4" w:space="0" w:color="CCCCCC"/>
            </w:tcBorders>
            <w:vAlign w:val="center"/>
          </w:tcPr>
          <w:p>
            <w:r>
              <w:rPr>
                <w:b/>
                <w:sz w:val="18"/>
              </w:rPr>
              <w:t>Site Prep &amp; Installation</w:t>
            </w:r>
          </w:p>
        </w:tc>
        <w:tc>
          <w:tcPr>
            <w:tcW w:type="dxa" w:w="1728"/>
            <w:shd w:fill="E2EFDA"/>
            <w:tcBorders>
              <w:top w:val="single" w:sz="4" w:space="0" w:color="CCCCCC"/>
              <w:bottom w:val="single" w:sz="4" w:space="0" w:color="CCCCCC"/>
              <w:left w:val="single" w:sz="4" w:space="0" w:color="CCCCCC"/>
              <w:right w:val="single" w:sz="4" w:space="0" w:color="CCCCCC"/>
            </w:tcBorders>
            <w:vAlign w:val="center"/>
          </w:tcPr>
          <w:p>
            <w:pPr>
              <w:jc w:val="center"/>
            </w:pPr>
            <w:r>
              <w:rPr>
                <w:b/>
                <w:color w:val="2E7559"/>
                <w:sz w:val="18"/>
              </w:rPr>
              <w:t>CAPITALIZE</w:t>
            </w:r>
          </w:p>
        </w:tc>
        <w:tc>
          <w:tcPr>
            <w:tcW w:type="dxa" w:w="4709"/>
            <w:tcBorders>
              <w:top w:val="single" w:sz="4" w:space="0" w:color="CCCCCC"/>
              <w:bottom w:val="single" w:sz="4" w:space="0" w:color="CCCCCC"/>
              <w:left w:val="single" w:sz="4" w:space="0" w:color="CCCCCC"/>
              <w:right w:val="single" w:sz="4" w:space="0" w:color="CCCCCC"/>
            </w:tcBorders>
            <w:vAlign w:val="center"/>
          </w:tcPr>
          <w:p>
            <w:r>
              <w:rPr>
                <w:sz w:val="18"/>
              </w:rPr>
              <w:t>Professional civil engineering layouts, site installation, assembly, testing runs, and professional commissioning fee structures.</w:t>
            </w:r>
          </w:p>
        </w:tc>
      </w:tr>
      <w:tr>
        <w:tc>
          <w:tcPr>
            <w:tcW w:type="dxa" w:w="2592"/>
            <w:shd w:fill="F7FAFC"/>
            <w:tcBorders>
              <w:top w:val="single" w:sz="4" w:space="0" w:color="CCCCCC"/>
              <w:bottom w:val="single" w:sz="4" w:space="0" w:color="CCCCCC"/>
              <w:left w:val="single" w:sz="4" w:space="0" w:color="CCCCCC"/>
              <w:right w:val="single" w:sz="4" w:space="0" w:color="CCCCCC"/>
            </w:tcBorders>
            <w:vAlign w:val="center"/>
          </w:tcPr>
          <w:p>
            <w:r>
              <w:rPr>
                <w:b/>
                <w:sz w:val="18"/>
              </w:rPr>
              <w:t>Financing Costs (Borrowing)</w:t>
            </w:r>
          </w:p>
        </w:tc>
        <w:tc>
          <w:tcPr>
            <w:tcW w:type="dxa" w:w="1728"/>
            <w:shd w:fill="FFF2CC"/>
            <w:tcBorders>
              <w:top w:val="single" w:sz="4" w:space="0" w:color="CCCCCC"/>
              <w:bottom w:val="single" w:sz="4" w:space="0" w:color="CCCCCC"/>
              <w:left w:val="single" w:sz="4" w:space="0" w:color="CCCCCC"/>
              <w:right w:val="single" w:sz="4" w:space="0" w:color="CCCCCC"/>
            </w:tcBorders>
            <w:vAlign w:val="center"/>
          </w:tcPr>
          <w:p>
            <w:pPr>
              <w:jc w:val="center"/>
            </w:pPr>
            <w:r>
              <w:rPr>
                <w:b/>
                <w:color w:val="806000"/>
                <w:sz w:val="18"/>
              </w:rPr>
              <w:t>CONDITIONAL</w:t>
            </w:r>
          </w:p>
        </w:tc>
        <w:tc>
          <w:tcPr>
            <w:tcW w:type="dxa" w:w="4709"/>
            <w:shd w:fill="F7FAFC"/>
            <w:tcBorders>
              <w:top w:val="single" w:sz="4" w:space="0" w:color="CCCCCC"/>
              <w:bottom w:val="single" w:sz="4" w:space="0" w:color="CCCCCC"/>
              <w:left w:val="single" w:sz="4" w:space="0" w:color="CCCCCC"/>
              <w:right w:val="single" w:sz="4" w:space="0" w:color="CCCCCC"/>
            </w:tcBorders>
            <w:vAlign w:val="center"/>
          </w:tcPr>
          <w:p>
            <w:r>
              <w:rPr>
                <w:sz w:val="18"/>
              </w:rPr>
              <w:t>Capitalize borrowing costs under Ind AS 23 only if they relate directly to the acquisition/construction of a qualifying asset during its development phase.</w:t>
            </w:r>
          </w:p>
        </w:tc>
      </w:tr>
      <w:tr>
        <w:tc>
          <w:tcPr>
            <w:tcW w:type="dxa" w:w="2592"/>
            <w:tcBorders>
              <w:top w:val="single" w:sz="4" w:space="0" w:color="CCCCCC"/>
              <w:bottom w:val="single" w:sz="4" w:space="0" w:color="CCCCCC"/>
              <w:left w:val="single" w:sz="4" w:space="0" w:color="CCCCCC"/>
              <w:right w:val="single" w:sz="4" w:space="0" w:color="CCCCCC"/>
            </w:tcBorders>
            <w:vAlign w:val="center"/>
          </w:tcPr>
          <w:p>
            <w:r>
              <w:rPr>
                <w:b/>
                <w:sz w:val="18"/>
              </w:rPr>
              <w:t>Operational Overheads &amp; Administration</w:t>
            </w:r>
          </w:p>
        </w:tc>
        <w:tc>
          <w:tcPr>
            <w:tcW w:type="dxa" w:w="1728"/>
            <w:shd w:fill="FCE4D6"/>
            <w:tcBorders>
              <w:top w:val="single" w:sz="4" w:space="0" w:color="CCCCCC"/>
              <w:bottom w:val="single" w:sz="4" w:space="0" w:color="CCCCCC"/>
              <w:left w:val="single" w:sz="4" w:space="0" w:color="CCCCCC"/>
              <w:right w:val="single" w:sz="4" w:space="0" w:color="CCCCCC"/>
            </w:tcBorders>
            <w:vAlign w:val="center"/>
          </w:tcPr>
          <w:p>
            <w:pPr>
              <w:jc w:val="center"/>
            </w:pPr>
            <w:r>
              <w:rPr>
                <w:b/>
                <w:color w:val="C00000"/>
                <w:sz w:val="18"/>
              </w:rPr>
              <w:t>EXPENSE OUT</w:t>
            </w:r>
          </w:p>
        </w:tc>
        <w:tc>
          <w:tcPr>
            <w:tcW w:type="dxa" w:w="4709"/>
            <w:tcBorders>
              <w:top w:val="single" w:sz="4" w:space="0" w:color="CCCCCC"/>
              <w:bottom w:val="single" w:sz="4" w:space="0" w:color="CCCCCC"/>
              <w:left w:val="single" w:sz="4" w:space="0" w:color="CCCCCC"/>
              <w:right w:val="single" w:sz="4" w:space="0" w:color="CCCCCC"/>
            </w:tcBorders>
            <w:vAlign w:val="center"/>
          </w:tcPr>
          <w:p>
            <w:r>
              <w:rPr>
                <w:sz w:val="18"/>
              </w:rPr>
              <w:t>General administrative overheads, routine repairs, operating maintenance contracts (AMCs), training fees, and pre-operating waste run costs must be charged to the P&amp;L as incurred.</w:t>
            </w:r>
          </w:p>
        </w:tc>
      </w:tr>
    </w:tbl>
    <w:p>
      <w:pPr>
        <w:spacing w:before="200"/>
      </w:pPr>
    </w:p>
    <w:p>
      <w:pPr>
        <w:keepNext/>
        <w:spacing w:before="240" w:after="80"/>
      </w:pPr>
      <w:r>
        <w:rPr>
          <w:rFonts w:ascii="Arial" w:hAnsi="Arial"/>
          <w:b/>
          <w:color w:val="1B365D"/>
          <w:sz w:val="28"/>
        </w:rPr>
        <w:t>3. Operational Step-by-Step Capitalization Lifecycle</w:t>
      </w:r>
    </w:p>
    <w:p>
      <w:pPr>
        <w:spacing w:after="80"/>
        <w:ind w:left="216"/>
      </w:pPr>
      <w:r>
        <w:rPr>
          <w:b/>
          <w:color w:val="2C5282"/>
        </w:rPr>
        <w:t>Step 1: Procurement Initiative &amp; CWIP Accumulation</w:t>
        <w:br/>
      </w:r>
      <w:r>
        <w:t>All costs relating to building or buying fixed assets must be systematically booked under the Capital Work-in-Progress (CWIP) ledger clearing line. Asset sub-components are tagged with a unique project tracker code.</w:t>
      </w:r>
    </w:p>
    <w:p>
      <w:pPr>
        <w:spacing w:after="80"/>
        <w:ind w:left="216"/>
      </w:pPr>
      <w:r>
        <w:rPr>
          <w:b/>
          <w:color w:val="2C5282"/>
        </w:rPr>
        <w:t>Step 2: Technical Readiness Verification &amp; Engineering Call-off</w:t>
        <w:br/>
      </w:r>
      <w:r>
        <w:t>Once the asset is physically installed, assembled, and successfully passes quality testing runs, the operational plant head issues a formal Technical Readiness Sign-Off Certificate. This confirms the asset is in the location and condition necessary for it to operate as intended.</w:t>
      </w:r>
    </w:p>
    <w:p>
      <w:pPr>
        <w:spacing w:after="80"/>
        <w:ind w:left="216"/>
      </w:pPr>
      <w:r>
        <w:rPr>
          <w:b/>
          <w:color w:val="2C5282"/>
        </w:rPr>
        <w:t>Step 3: Asset Capitalization Request (ACR) Workflow Initiation</w:t>
        <w:br/>
      </w:r>
      <w:r>
        <w:t>The project coordinator logs an Asset Capitalization Request (ACR) inside the ERP system. The ACR must attach: (a) Vendor Invoices, (b) Bill of Entry/Logistics notes, (c) The Technical Sign-Off certificate, and (d) Proposed Asset Life/Depreciation group allocation.</w:t>
      </w:r>
    </w:p>
    <w:p>
      <w:pPr>
        <w:spacing w:after="80"/>
        <w:ind w:left="216"/>
      </w:pPr>
      <w:r>
        <w:rPr>
          <w:b/>
          <w:color w:val="2C5282"/>
        </w:rPr>
        <w:t>Step 4: Registry Update, Barcode Assignment &amp; Capitalization Execution</w:t>
        <w:br/>
      </w:r>
      <w:r>
        <w:t>The Corporate Finance Desk reviews the ACR package for threshold and regulatory verification. Upon approval: (1) The asset is transferred out of CWIP and into the Main Plant Asset Block General Ledger, (2) The Fixed Asset Register (FAR) generates a unique Asset ID, and (3) A physical barcode asset tag is dispatched for deployment.</w:t>
      </w:r>
    </w:p>
    <w:p>
      <w:pPr>
        <w:keepNext/>
        <w:spacing w:before="240" w:after="80"/>
      </w:pPr>
      <w:r>
        <w:rPr>
          <w:rFonts w:ascii="Arial" w:hAnsi="Arial"/>
          <w:b/>
          <w:color w:val="1B365D"/>
          <w:sz w:val="28"/>
        </w:rPr>
        <w:t>4. De-capitalization, Disposal &amp; Relocation Governance</w:t>
      </w:r>
    </w:p>
    <w:p>
      <w:r>
        <w:t>No asset may be physically scrapped, sold, written off, or transferred between distinct manufacturing units without an approved Asset Disposal &amp; Relocation Form signed by the respective Segment Unit Head and the CFO. Any financial variance resulting between the net salvage realisable value and the carrying net book value (NBV) of the retired asset shall be immediately computed and recognized as a Gain or Loss on Asset Disposal inside the current operating period's P&amp;L.</w:t>
      </w:r>
    </w:p>
    <w:p>
      <w:pPr>
        <w:keepNext/>
        <w:spacing w:before="400"/>
      </w:pPr>
    </w:p>
    <w:tbl>
      <w:tblPr>
        <w:tblW w:type="auto" w:w="0"/>
        <w:jc w:val="center"/>
        <w:tblLayout w:type="fixed"/>
        <w:tblLook w:firstColumn="1" w:firstRow="1" w:lastColumn="0" w:lastRow="0" w:noHBand="0" w:noVBand="1" w:val="04A0"/>
      </w:tblPr>
      <w:tblGrid>
        <w:gridCol w:w="4514"/>
        <w:gridCol w:w="4514"/>
      </w:tblGrid>
      <w:tr>
        <w:tc>
          <w:tcPr>
            <w:tcW w:type="dxa" w:w="4464"/>
            <w:tcBorders>
              <w:top w:val="none"/>
              <w:left w:val="none"/>
              <w:bottom w:val="none"/>
              <w:right w:val="none"/>
            </w:tcBorders>
          </w:tcPr>
          <w:p>
            <w:r>
              <w:rPr>
                <w:sz w:val="19"/>
              </w:rPr>
              <w:t>Drafted &amp; Compiled By:</w:t>
              <w:br/>
              <w:br/>
              <w:br/>
              <w:t>___________________________</w:t>
              <w:br/>
              <w:t>Corporate Fixed Asset Controller</w:t>
              <w:br/>
              <w:t>Financial Operations Desk</w:t>
            </w:r>
          </w:p>
        </w:tc>
        <w:tc>
          <w:tcPr>
            <w:tcW w:type="dxa" w:w="4464"/>
            <w:tcBorders>
              <w:top w:val="none"/>
              <w:left w:val="none"/>
              <w:bottom w:val="none"/>
              <w:right w:val="none"/>
            </w:tcBorders>
          </w:tcPr>
          <w:p>
            <w:pPr>
              <w:jc w:val="right"/>
            </w:pPr>
            <w:r>
              <w:rPr>
                <w:sz w:val="19"/>
              </w:rPr>
              <w:t>Approved &amp; Authorized By:</w:t>
              <w:br/>
              <w:br/>
              <w:br/>
              <w:t>___________________________</w:t>
              <w:br/>
              <w:t>Chief Financial Officer (CFO)</w:t>
              <w:br/>
              <w:t>Global Compliance Committee</w:t>
            </w:r>
          </w:p>
        </w:tc>
      </w:tr>
    </w:tbl>
    <w:sectPr w:rsidR="00FC693F" w:rsidRPr="0006063C" w:rsidSect="00034616">
      <w:pgSz w:w="11909" w:h="16834"/>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88" w:lineRule="auto" w:after="120"/>
    </w:pPr>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